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7FA9" w14:textId="77777777" w:rsidR="00C74043" w:rsidRPr="00C74043" w:rsidRDefault="00C74043" w:rsidP="00C74043">
      <w:pPr>
        <w:keepNext/>
        <w:keepLines/>
        <w:spacing w:before="120" w:after="120" w:line="240" w:lineRule="auto"/>
        <w:outlineLvl w:val="0"/>
        <w:rPr>
          <w:rFonts w:eastAsia="DengXian Light" w:cstheme="minorHAnsi"/>
          <w:b/>
          <w:sz w:val="24"/>
          <w:szCs w:val="32"/>
          <w:lang w:val="sr-Latn-ME"/>
        </w:rPr>
      </w:pPr>
      <w:r w:rsidRPr="00C74043">
        <w:rPr>
          <w:rFonts w:eastAsia="DengXian Light" w:cstheme="minorHAnsi"/>
          <w:b/>
          <w:sz w:val="24"/>
          <w:szCs w:val="32"/>
          <w:lang w:val="sr-Latn-ME"/>
        </w:rPr>
        <w:t xml:space="preserve">PRILOG 6 Prikaz Zona prema </w:t>
      </w:r>
      <w:hyperlink r:id="rId6" w:history="1">
        <w:r w:rsidRPr="00C74043">
          <w:rPr>
            <w:rFonts w:eastAsia="DengXian Light" w:cstheme="minorHAnsi"/>
            <w:b/>
            <w:color w:val="0563C1" w:themeColor="hyperlink"/>
            <w:sz w:val="24"/>
            <w:szCs w:val="32"/>
            <w:u w:val="single"/>
            <w:lang w:val="sr-Latn-ME"/>
          </w:rPr>
          <w:t>Odluci o naknadi za urbanu sanaciju</w:t>
        </w:r>
      </w:hyperlink>
      <w:r w:rsidRPr="00C74043">
        <w:rPr>
          <w:rFonts w:eastAsia="DengXian Light" w:cstheme="minorHAnsi"/>
          <w:b/>
          <w:sz w:val="24"/>
          <w:szCs w:val="32"/>
          <w:vertAlign w:val="superscript"/>
          <w:lang w:val="sr-Latn-ME"/>
        </w:rPr>
        <w:footnoteReference w:id="1"/>
      </w:r>
      <w:r w:rsidRPr="00C74043">
        <w:rPr>
          <w:rFonts w:eastAsia="DengXian Light" w:cstheme="minorHAnsi"/>
          <w:b/>
          <w:sz w:val="24"/>
          <w:szCs w:val="32"/>
          <w:lang w:val="sr-Latn-ME"/>
        </w:rPr>
        <w:t xml:space="preserve"> </w:t>
      </w:r>
    </w:p>
    <w:p w14:paraId="70981F9A" w14:textId="77777777" w:rsidR="00C74043" w:rsidRPr="00C74043" w:rsidRDefault="00C74043" w:rsidP="00C74043">
      <w:pPr>
        <w:spacing w:before="120" w:after="120" w:line="240" w:lineRule="auto"/>
        <w:rPr>
          <w:rFonts w:cstheme="minorHAnsi"/>
          <w:lang w:val="sr-Latn-ME"/>
        </w:rPr>
      </w:pPr>
    </w:p>
    <w:p w14:paraId="17015367" w14:textId="4AF83ACD" w:rsidR="00C74043" w:rsidRPr="00C74043" w:rsidRDefault="00C74043" w:rsidP="00C74043">
      <w:pPr>
        <w:spacing w:before="120" w:after="120" w:line="240" w:lineRule="auto"/>
        <w:jc w:val="both"/>
        <w:rPr>
          <w:rFonts w:cstheme="minorHAnsi"/>
          <w:lang w:val="sr-Latn-ME"/>
        </w:rPr>
      </w:pPr>
      <w:r w:rsidRPr="00C74043">
        <w:rPr>
          <w:rFonts w:cstheme="minorHAnsi"/>
          <w:lang w:val="sr-Latn-ME"/>
        </w:rPr>
        <w:t>Granice zona utvrđene su na osnovu zahvata planskih dokumenata:</w:t>
      </w:r>
    </w:p>
    <w:p w14:paraId="28E96505" w14:textId="77777777" w:rsidR="00C74043" w:rsidRPr="00C74043" w:rsidRDefault="00C74043" w:rsidP="00C74043">
      <w:pPr>
        <w:spacing w:before="120" w:after="120" w:line="240" w:lineRule="auto"/>
        <w:rPr>
          <w:rFonts w:cstheme="minorHAnsi"/>
          <w:lang w:val="sr-Latn-ME"/>
        </w:rPr>
      </w:pPr>
    </w:p>
    <w:p w14:paraId="1CD5390D" w14:textId="77777777" w:rsidR="00C74043" w:rsidRPr="00C74043" w:rsidRDefault="00C74043" w:rsidP="00C74043">
      <w:pPr>
        <w:spacing w:before="120" w:after="120" w:line="240" w:lineRule="auto"/>
        <w:jc w:val="center"/>
        <w:rPr>
          <w:rFonts w:cstheme="minorHAnsi"/>
          <w:lang w:val="sr-Latn-ME"/>
        </w:rPr>
      </w:pPr>
      <w:r w:rsidRPr="00C74043">
        <w:rPr>
          <w:rFonts w:cstheme="minorHAnsi"/>
          <w:lang w:val="sr-Latn-ME"/>
        </w:rPr>
        <w:t>PRVA ZONA</w:t>
      </w:r>
    </w:p>
    <w:p w14:paraId="3AFA5F18" w14:textId="77777777" w:rsidR="00C74043" w:rsidRPr="00C74043" w:rsidRDefault="00C74043" w:rsidP="00C74043">
      <w:pPr>
        <w:spacing w:before="120" w:after="120" w:line="240" w:lineRule="auto"/>
        <w:jc w:val="both"/>
        <w:rPr>
          <w:rFonts w:cstheme="minorHAnsi"/>
          <w:lang w:val="sr-Latn-ME"/>
        </w:rPr>
      </w:pPr>
      <w:r w:rsidRPr="00C74043">
        <w:rPr>
          <w:rFonts w:cstheme="minorHAnsi"/>
          <w:lang w:val="sr-Latn-ME"/>
        </w:rPr>
        <w:t>Obuhvata prostor čija granica počinje od spoja ulica Tanasija Pejatovića i Velimira Jakića, ulicom Velimira Jakića do spoja sa ulicom Treće Proleterske sandžačke brigade, ulicom Treće Proleterske sandžačke brigade do spoja sa ulicom Volođinom, ulicom Volođinom do spoja sa ulicom Ivana Milutinovića (Kameni most), ulicom Ivana Milutinovića i dalje ulicom Uroša Ružičića do spoja sa ulicom dr. Sava Dimitrijevića, ulicom dr. Sava Dimitrijevića do spoja sa ulicom Prvog Decembra, ulicom Prvog Decembra do spoja sa ulicom Tanasija Pejatovića (raskrsnica), ulicom Tanasija Pejatovića do spoja sa ulicom Velimira Jakića (početna tačka).</w:t>
      </w:r>
    </w:p>
    <w:p w14:paraId="321EFE7A" w14:textId="77777777" w:rsidR="00C74043" w:rsidRPr="00C74043" w:rsidRDefault="00C74043" w:rsidP="00C74043">
      <w:pPr>
        <w:spacing w:before="120" w:after="120" w:line="240" w:lineRule="auto"/>
        <w:jc w:val="both"/>
        <w:rPr>
          <w:rFonts w:cstheme="minorHAnsi"/>
          <w:lang w:val="sr-Latn-ME"/>
        </w:rPr>
      </w:pPr>
    </w:p>
    <w:p w14:paraId="6A15513B" w14:textId="77777777" w:rsidR="00C74043" w:rsidRPr="00C74043" w:rsidRDefault="00C74043" w:rsidP="00C74043">
      <w:pPr>
        <w:spacing w:before="120" w:after="120" w:line="240" w:lineRule="auto"/>
        <w:jc w:val="center"/>
        <w:rPr>
          <w:rFonts w:cstheme="minorHAnsi"/>
          <w:lang w:val="sr-Latn-ME"/>
        </w:rPr>
      </w:pPr>
      <w:r w:rsidRPr="00C74043">
        <w:rPr>
          <w:rFonts w:cstheme="minorHAnsi"/>
          <w:lang w:val="sr-Latn-ME"/>
        </w:rPr>
        <w:t>DRUGA ZONA</w:t>
      </w:r>
    </w:p>
    <w:p w14:paraId="4EDA2624" w14:textId="77777777" w:rsidR="00C74043" w:rsidRPr="00C74043" w:rsidRDefault="00C74043" w:rsidP="00C74043">
      <w:pPr>
        <w:spacing w:before="120" w:after="120" w:line="240" w:lineRule="auto"/>
        <w:jc w:val="both"/>
        <w:rPr>
          <w:rFonts w:cstheme="minorHAnsi"/>
          <w:lang w:val="sr-Latn-ME"/>
        </w:rPr>
      </w:pPr>
      <w:r w:rsidRPr="00C74043">
        <w:rPr>
          <w:rFonts w:cstheme="minorHAnsi"/>
          <w:lang w:val="sr-Latn-ME"/>
        </w:rPr>
        <w:t>Obuhvata prostor čija granica počinje na raskrsnici zaobilaznice Pljevlja – Đurđevića Tara i ulica Velimira Jakića i RVI (Auto škola), zatim zaobilaznicom Pljevlja - Đurđevića Tara do spoja sa ulicom Rudarskom, ulicom Rudarskom do raskrsnice sa saobraćajnicom - k.p.br. 2912 KO Pljevlja, saobraćajnicom - k.p.br. 2912 KO Pljevlja sa spoja sa ulicom Narodne Revolucije, ulicom Narodne Revolucije do spoja sa ulicom Nikole Pašića, ulicom Nikole Pašića do spoja sa ulicom Brezničkom, ulicom Brezničkom do spoja sa ulicama Oslobođenja i Premćanskom, dalje ulicom Premćanskom do spoja sa ulicom Durmitorskom, ulicom Durmitorskom do spoja sa ulicom Volođinom, ulicom Volođinom do spoja sa ulicom Marka Miljanova, ulicom Marka Miljanova do spoja sa ulicom Lovćenskom, ulicom Lovćenskom do spoja sa ulicom Vardarskom, ulicom Vardarskom do spoja sa ulicama Njegoševom i Dušana Obradovića, ulicom Dušana Obradovića do spoja sa ulicom Nemanjinom i putem koji prolazi kroz park, putem kroz park ispred stadiona do spoja sa ulicom Vuka Karadžić, ulicom Vuka Kradažića do spoja sa ulicom Blaža Jovanovića, ulicom Blaža Jovanovića do spoja sa ulicom 20. Novembra, ulicom 20. Novembra do raskrsnice zaobilaznice Pljevlja – Đurđevića Tara i ulica Velimira Jakića i RVI (početna tačka).</w:t>
      </w:r>
    </w:p>
    <w:p w14:paraId="21F60786" w14:textId="77777777" w:rsidR="00C74043" w:rsidRPr="00C74043" w:rsidRDefault="00C74043" w:rsidP="00C74043">
      <w:pPr>
        <w:spacing w:before="120" w:after="120" w:line="240" w:lineRule="auto"/>
        <w:jc w:val="both"/>
        <w:rPr>
          <w:rFonts w:cstheme="minorHAnsi"/>
          <w:lang w:val="sr-Latn-ME"/>
        </w:rPr>
      </w:pPr>
    </w:p>
    <w:p w14:paraId="768B6E5A" w14:textId="77777777" w:rsidR="00C74043" w:rsidRPr="00C74043" w:rsidRDefault="00C74043" w:rsidP="00C74043">
      <w:pPr>
        <w:spacing w:before="120" w:after="120" w:line="240" w:lineRule="auto"/>
        <w:jc w:val="center"/>
        <w:rPr>
          <w:rFonts w:cstheme="minorHAnsi"/>
          <w:lang w:val="sr-Latn-ME"/>
        </w:rPr>
      </w:pPr>
      <w:r w:rsidRPr="00C74043">
        <w:rPr>
          <w:rFonts w:cstheme="minorHAnsi"/>
          <w:lang w:val="sr-Latn-ME"/>
        </w:rPr>
        <w:t>TREĆA ZONA</w:t>
      </w:r>
    </w:p>
    <w:p w14:paraId="5E156842" w14:textId="77777777" w:rsidR="00C74043" w:rsidRPr="00C74043" w:rsidRDefault="00C74043" w:rsidP="00C74043">
      <w:pPr>
        <w:spacing w:before="120" w:after="120" w:line="240" w:lineRule="auto"/>
        <w:jc w:val="both"/>
        <w:rPr>
          <w:rFonts w:cstheme="minorHAnsi"/>
          <w:i/>
          <w:iCs/>
          <w:lang w:val="sr-Latn-ME"/>
        </w:rPr>
      </w:pPr>
      <w:r w:rsidRPr="00C74043">
        <w:rPr>
          <w:rFonts w:cstheme="minorHAnsi"/>
          <w:lang w:val="sr-Latn-ME"/>
        </w:rPr>
        <w:t>Obuhvata prostor čija granica počinje u tački 6611088.5333, 4803242.9973, dalje do tačke 6610858.6468, 4803224.6730, dalje do tačke 6610754.9501, 4803287.5821, dalje do spoja sa putem do manastira (6610732.4822, 4803288.4160), na jugozapad putem za manastir do spoja sa ulicom Nemanjinom (granica DUP-a “Moćevac”), na sjever granicom DUP-a “Moćevac” do tačke 6610323.00, 4802941.5400, dalje granicom katastarskih parcela broj 6109, 6108, 6107, 6106, 6105 i 480 KO Pljevlja do tačke 6610182.4100, 4802877.5000, dalje granicom DUP-a “Moćevac” do spoja sa granicom DUP-a “Mali logor” u ulici Lovćenskoj, dalje granicom DUP-a “Mali logor” do spoja sa granicom DUP-a “Dolovi IV”, dalje granicom DUP-a “Dolovi IV” do tačke 6609597.9800, 4802 565.4700, dalje planiranom saobraćajnicm u DUP-u “Dolovi IV” do spoja sa granicom DUP-a “Veliki logor”, granicom DUP-a “Veliki logor” do spoja sa ulicom Orjenskom, ulicom Orjenskom do granice između kat.p.br. 5863 i 5864 KO Pljevlja, granicom između kat.p.br. 5863 i 5864 KO Pljevlja do presjeka sa ulicom Hamdije Šahimpašića, daje granicom kat.p.br. 5867/3, 5867/2, 5867/1 i 5868 KO Pljevlja do presjeka sa ulicom Ševarskom,</w:t>
      </w:r>
      <w:r w:rsidRPr="00C74043">
        <w:rPr>
          <w:rFonts w:cstheme="minorHAnsi"/>
          <w:color w:val="000000"/>
          <w:sz w:val="23"/>
          <w:szCs w:val="23"/>
          <w:lang w:val="sr-Latn-ME"/>
        </w:rPr>
        <w:t xml:space="preserve"> </w:t>
      </w:r>
      <w:r w:rsidRPr="00C74043">
        <w:rPr>
          <w:rFonts w:cstheme="minorHAnsi"/>
          <w:lang w:val="sr-Latn-ME"/>
        </w:rPr>
        <w:t xml:space="preserve">ulicom Ševarskom do presjeka sa ulicom Oslobođenja, na zapad ulicom Oslobođenja do raskrsnice sa novoplaniranom saobraćajnicom Ševari – Jugopetrol, pomenutom saobraćajnicom do spoja sa rijekom Breznicom, na jugozapad rijekom Breznicom do spoja sa rijekom </w:t>
      </w:r>
      <w:r w:rsidRPr="00C74043">
        <w:rPr>
          <w:rFonts w:cstheme="minorHAnsi"/>
          <w:lang w:val="sr-Latn-ME"/>
        </w:rPr>
        <w:lastRenderedPageBreak/>
        <w:t>Ćehotinom, na jugoistok rijekom Ćehotinom do spoja sa ul. Narodne Revolucije, ulicom Narodne Revolucije do raskrsnice sa zaobilaznicom Pljevlja – Đurđevića Tara, dalje zaobilaznicom Pljevlja – Đurđevića Tara do spoja sa LSL „Đulina Guka“, dalje granicom LSL “Đulina Guka” do spoja sa granicom DUP-a “Potrlica”, dalje granicom DUP-a “Potrlica” do tačke 6610977.83 4801772.99, dalje do tačke 6611021.13, 4801810.26, dalje planiranom saobraćajnicom po DUP-u “Potrlica” do presjeka sa ulicom RVI, na sjeverozapad ulicom RVI do granice kat.p.br. 6004 KO Pljevlja, dalje granicom kat.p.br. 6004 KO Pljevlja do presjeka sa ulicom Joka Kneževića, na jugoistok ulicom Joka Kneževića do granice kat.p.br. 6002 KO Pljevlja, dalje na sjeveroistok granicom kat.p.br. 6002 KO PLjevlja i dalje do spoja sa granicom urbanističko planskog rješenja PUP-a opštine Pljevlja (6611353.0541 4801866.1820) i dalje granicom urbanističko planskog rješenja PUP-a opštine Pljevlja do početne tačke.</w:t>
      </w:r>
      <w:r w:rsidRPr="00C74043">
        <w:rPr>
          <w:rFonts w:cstheme="minorHAnsi"/>
          <w:i/>
          <w:iCs/>
          <w:lang w:val="sr-Latn-ME"/>
        </w:rPr>
        <w:t xml:space="preserve">“ </w:t>
      </w:r>
    </w:p>
    <w:p w14:paraId="764D85AA" w14:textId="77777777" w:rsidR="00C74043" w:rsidRPr="00C74043" w:rsidRDefault="00C74043" w:rsidP="00C74043">
      <w:pPr>
        <w:spacing w:before="120" w:after="120" w:line="240" w:lineRule="auto"/>
        <w:jc w:val="both"/>
        <w:rPr>
          <w:rFonts w:cstheme="minorHAnsi"/>
          <w:i/>
          <w:iCs/>
          <w:lang w:val="sr-Latn-ME"/>
        </w:rPr>
      </w:pPr>
    </w:p>
    <w:p w14:paraId="170DB4DC" w14:textId="77777777" w:rsidR="00C74043" w:rsidRPr="00C74043" w:rsidRDefault="00C74043" w:rsidP="00C74043">
      <w:pPr>
        <w:spacing w:before="120" w:after="120" w:line="240" w:lineRule="auto"/>
        <w:jc w:val="center"/>
        <w:rPr>
          <w:rFonts w:cstheme="minorHAnsi"/>
          <w:lang w:val="sr-Latn-ME"/>
        </w:rPr>
      </w:pPr>
      <w:r w:rsidRPr="00C74043">
        <w:rPr>
          <w:rFonts w:cstheme="minorHAnsi"/>
          <w:lang w:val="sr-Latn-ME"/>
        </w:rPr>
        <w:t>ČETVRTA ZONA</w:t>
      </w:r>
    </w:p>
    <w:p w14:paraId="03E01732" w14:textId="77777777" w:rsidR="00C74043" w:rsidRPr="00C74043" w:rsidRDefault="00C74043" w:rsidP="00C74043">
      <w:pPr>
        <w:spacing w:before="120" w:after="120" w:line="240" w:lineRule="auto"/>
        <w:jc w:val="both"/>
        <w:rPr>
          <w:rFonts w:cstheme="minorHAnsi"/>
          <w:lang w:val="sr-Latn-ME"/>
        </w:rPr>
      </w:pPr>
      <w:r w:rsidRPr="00C74043">
        <w:rPr>
          <w:rFonts w:cstheme="minorHAnsi"/>
          <w:lang w:val="sr-Latn-ME"/>
        </w:rPr>
        <w:t xml:space="preserve">Obuhvata prostor koji zahvata: </w:t>
      </w:r>
      <w:r w:rsidRPr="00C74043">
        <w:rPr>
          <w:rFonts w:cstheme="minorHAnsi"/>
          <w:i/>
          <w:iCs/>
          <w:lang w:val="sr-Latn-ME"/>
        </w:rPr>
        <w:t>„</w:t>
      </w:r>
      <w:r w:rsidRPr="00C74043">
        <w:rPr>
          <w:rFonts w:cstheme="minorHAnsi"/>
          <w:lang w:val="sr-Latn-ME"/>
        </w:rPr>
        <w:t xml:space="preserve">Dio planiranog (po PUP-u) DUP-a “Moćevac” (izvan III zone), dio DUP-a “Potrlica” (izvan III zone), dio DUP-a “Bare I” (izvan III zone), DUP “Radosavac“, planirani (po PUP-u) DUP „Gorijevac“, dio DUP-a „Dolovi IV“ (izvan III zone), DUP „Dolovi I“, DUP „Dolovi III“, planirani (po PUP-u) DUP „Dolovi II“ i dio DUP-a „Balibegovo Brdo i Kupusište“ (izvan III zone) na zapad do ulice Radničke.“ </w:t>
      </w:r>
    </w:p>
    <w:p w14:paraId="46E68047" w14:textId="77777777" w:rsidR="00C74043" w:rsidRPr="00C74043" w:rsidRDefault="00C74043" w:rsidP="00C74043">
      <w:pPr>
        <w:spacing w:before="120" w:after="120" w:line="240" w:lineRule="auto"/>
        <w:jc w:val="both"/>
        <w:rPr>
          <w:rFonts w:cstheme="minorHAnsi"/>
          <w:lang w:val="sr-Latn-ME"/>
        </w:rPr>
      </w:pPr>
    </w:p>
    <w:p w14:paraId="13D3F697" w14:textId="77777777" w:rsidR="00C74043" w:rsidRPr="00C74043" w:rsidRDefault="00C74043" w:rsidP="00C74043">
      <w:pPr>
        <w:spacing w:before="120" w:after="120" w:line="240" w:lineRule="auto"/>
        <w:jc w:val="center"/>
        <w:rPr>
          <w:rFonts w:cstheme="minorHAnsi"/>
          <w:lang w:val="sr-Latn-ME"/>
        </w:rPr>
      </w:pPr>
      <w:r w:rsidRPr="00C74043">
        <w:rPr>
          <w:rFonts w:cstheme="minorHAnsi"/>
          <w:lang w:val="sr-Latn-ME"/>
        </w:rPr>
        <w:t>PETA ZONA</w:t>
      </w:r>
    </w:p>
    <w:p w14:paraId="45A7CDAE" w14:textId="77777777" w:rsidR="00C74043" w:rsidRPr="00C74043" w:rsidRDefault="00C74043" w:rsidP="00C74043">
      <w:pPr>
        <w:spacing w:before="120" w:after="120" w:line="240" w:lineRule="auto"/>
        <w:jc w:val="both"/>
        <w:rPr>
          <w:rFonts w:cstheme="minorHAnsi"/>
          <w:lang w:val="sr-Latn-ME"/>
        </w:rPr>
      </w:pPr>
      <w:r w:rsidRPr="00C74043">
        <w:rPr>
          <w:rFonts w:cstheme="minorHAnsi"/>
          <w:lang w:val="sr-Latn-ME"/>
        </w:rPr>
        <w:t xml:space="preserve">Obuhvata prostor od IV zone do granice Urbanističko planskog rješenja grada Pljevalja. </w:t>
      </w:r>
    </w:p>
    <w:p w14:paraId="518A6959" w14:textId="77777777" w:rsidR="00C74043" w:rsidRPr="00C74043" w:rsidRDefault="00C74043" w:rsidP="00C74043">
      <w:pPr>
        <w:spacing w:before="120" w:after="120" w:line="240" w:lineRule="auto"/>
        <w:jc w:val="both"/>
        <w:rPr>
          <w:rFonts w:cstheme="minorHAnsi"/>
          <w:lang w:val="sr-Latn-ME"/>
        </w:rPr>
      </w:pPr>
    </w:p>
    <w:p w14:paraId="45F84CB4" w14:textId="77777777" w:rsidR="00C74043" w:rsidRPr="00C74043" w:rsidRDefault="00C74043" w:rsidP="00C74043">
      <w:pPr>
        <w:spacing w:before="120" w:after="120" w:line="240" w:lineRule="auto"/>
        <w:jc w:val="center"/>
        <w:rPr>
          <w:rFonts w:cstheme="minorHAnsi"/>
          <w:lang w:val="sr-Latn-ME"/>
        </w:rPr>
      </w:pPr>
      <w:r w:rsidRPr="00C74043">
        <w:rPr>
          <w:rFonts w:cstheme="minorHAnsi"/>
          <w:lang w:val="sr-Latn-ME"/>
        </w:rPr>
        <w:t>ŠESTA ZONA</w:t>
      </w:r>
    </w:p>
    <w:p w14:paraId="61A37945" w14:textId="77777777" w:rsidR="00C74043" w:rsidRPr="00C74043" w:rsidRDefault="00C74043" w:rsidP="00C74043">
      <w:pPr>
        <w:spacing w:before="120" w:after="120" w:line="240" w:lineRule="auto"/>
        <w:jc w:val="both"/>
        <w:rPr>
          <w:rFonts w:cstheme="minorHAnsi"/>
          <w:lang w:val="sr-Latn-ME"/>
        </w:rPr>
      </w:pPr>
      <w:r w:rsidRPr="00C74043">
        <w:rPr>
          <w:rFonts w:cstheme="minorHAnsi"/>
          <w:lang w:val="sr-Latn-ME"/>
        </w:rPr>
        <w:t>Obuhvata prostor van granice urbanističko planskog rješenja grada Pljevalja.</w:t>
      </w:r>
    </w:p>
    <w:p w14:paraId="6AB28C2A" w14:textId="77777777" w:rsidR="0067370D" w:rsidRDefault="0067370D"/>
    <w:sectPr w:rsidR="0067370D" w:rsidSect="00A82DD2">
      <w:footerReference w:type="default" r:id="rId7"/>
      <w:pgSz w:w="11906" w:h="16838"/>
      <w:pgMar w:top="1276" w:right="1440" w:bottom="1276" w:left="1440" w:header="709"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0958" w14:textId="77777777" w:rsidR="00CA47C8" w:rsidRDefault="00CA47C8" w:rsidP="00C74043">
      <w:pPr>
        <w:spacing w:after="0" w:line="240" w:lineRule="auto"/>
      </w:pPr>
      <w:r>
        <w:separator/>
      </w:r>
    </w:p>
  </w:endnote>
  <w:endnote w:type="continuationSeparator" w:id="0">
    <w:p w14:paraId="040DA501" w14:textId="77777777" w:rsidR="00CA47C8" w:rsidRDefault="00CA47C8" w:rsidP="00C7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14D0" w14:textId="00BF3951" w:rsidR="009F5271" w:rsidRDefault="009F5271">
    <w:pPr>
      <w:pStyle w:val="Footer"/>
      <w:jc w:val="center"/>
    </w:pPr>
  </w:p>
  <w:p w14:paraId="1D939650" w14:textId="77777777" w:rsidR="009D60C2" w:rsidRDefault="00CA4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4FF1" w14:textId="77777777" w:rsidR="00CA47C8" w:rsidRDefault="00CA47C8" w:rsidP="00C74043">
      <w:pPr>
        <w:spacing w:after="0" w:line="240" w:lineRule="auto"/>
      </w:pPr>
      <w:r>
        <w:separator/>
      </w:r>
    </w:p>
  </w:footnote>
  <w:footnote w:type="continuationSeparator" w:id="0">
    <w:p w14:paraId="16C3BB66" w14:textId="77777777" w:rsidR="00CA47C8" w:rsidRDefault="00CA47C8" w:rsidP="00C74043">
      <w:pPr>
        <w:spacing w:after="0" w:line="240" w:lineRule="auto"/>
      </w:pPr>
      <w:r>
        <w:continuationSeparator/>
      </w:r>
    </w:p>
  </w:footnote>
  <w:footnote w:id="1">
    <w:p w14:paraId="0525DE8D" w14:textId="74E29155" w:rsidR="00C74043" w:rsidRPr="008C6BEB" w:rsidRDefault="00C74043" w:rsidP="00C74043">
      <w:pPr>
        <w:pStyle w:val="FootnoteText"/>
      </w:pPr>
      <w:r w:rsidRPr="008C6BEB">
        <w:rPr>
          <w:rStyle w:val="FootnoteReference"/>
          <w:sz w:val="18"/>
          <w:szCs w:val="18"/>
        </w:rPr>
        <w:footnoteRef/>
      </w:r>
      <w:r w:rsidRPr="008C6BEB">
        <w:rPr>
          <w:sz w:val="18"/>
          <w:szCs w:val="18"/>
        </w:rPr>
        <w:t xml:space="preserve"> ODLUKA o </w:t>
      </w:r>
      <w:proofErr w:type="spellStart"/>
      <w:r w:rsidRPr="008C6BEB">
        <w:rPr>
          <w:sz w:val="18"/>
          <w:szCs w:val="18"/>
        </w:rPr>
        <w:t>naknadi</w:t>
      </w:r>
      <w:proofErr w:type="spellEnd"/>
      <w:r w:rsidRPr="008C6BEB">
        <w:rPr>
          <w:sz w:val="18"/>
          <w:szCs w:val="18"/>
        </w:rPr>
        <w:t xml:space="preserve"> za </w:t>
      </w:r>
      <w:proofErr w:type="spellStart"/>
      <w:r w:rsidRPr="008C6BEB">
        <w:rPr>
          <w:sz w:val="18"/>
          <w:szCs w:val="18"/>
        </w:rPr>
        <w:t>urbanu</w:t>
      </w:r>
      <w:proofErr w:type="spellEnd"/>
      <w:r w:rsidRPr="008C6BEB">
        <w:rPr>
          <w:sz w:val="18"/>
          <w:szCs w:val="18"/>
        </w:rPr>
        <w:t xml:space="preserve"> </w:t>
      </w:r>
      <w:proofErr w:type="spellStart"/>
      <w:r w:rsidRPr="008C6BEB">
        <w:rPr>
          <w:sz w:val="18"/>
          <w:szCs w:val="18"/>
        </w:rPr>
        <w:t>sanaciju</w:t>
      </w:r>
      <w:proofErr w:type="spellEnd"/>
      <w:r w:rsidRPr="008C6BEB">
        <w:rPr>
          <w:sz w:val="18"/>
          <w:szCs w:val="18"/>
        </w:rPr>
        <w:t xml:space="preserve">, </w:t>
      </w:r>
      <w:proofErr w:type="spellStart"/>
      <w:r w:rsidRPr="008C6BEB">
        <w:rPr>
          <w:sz w:val="18"/>
          <w:szCs w:val="18"/>
        </w:rPr>
        <w:t>dostu</w:t>
      </w:r>
      <w:r w:rsidR="009F5271">
        <w:rPr>
          <w:sz w:val="18"/>
          <w:szCs w:val="18"/>
        </w:rPr>
        <w:t>p</w:t>
      </w:r>
      <w:r w:rsidRPr="008C6BEB">
        <w:rPr>
          <w:sz w:val="18"/>
          <w:szCs w:val="18"/>
        </w:rPr>
        <w:t>na</w:t>
      </w:r>
      <w:proofErr w:type="spellEnd"/>
      <w:r w:rsidRPr="008C6BEB">
        <w:rPr>
          <w:sz w:val="18"/>
          <w:szCs w:val="18"/>
        </w:rPr>
        <w:t xml:space="preserve"> </w:t>
      </w:r>
      <w:proofErr w:type="spellStart"/>
      <w:r w:rsidRPr="008C6BEB">
        <w:rPr>
          <w:sz w:val="18"/>
          <w:szCs w:val="18"/>
        </w:rPr>
        <w:t>na</w:t>
      </w:r>
      <w:proofErr w:type="spellEnd"/>
      <w:r w:rsidRPr="008C6BEB">
        <w:rPr>
          <w:sz w:val="18"/>
          <w:szCs w:val="18"/>
        </w:rPr>
        <w:t xml:space="preserve"> </w:t>
      </w:r>
      <w:proofErr w:type="spellStart"/>
      <w:r w:rsidRPr="008C6BEB">
        <w:rPr>
          <w:sz w:val="18"/>
          <w:szCs w:val="18"/>
        </w:rPr>
        <w:t>linku</w:t>
      </w:r>
      <w:proofErr w:type="spellEnd"/>
      <w:r w:rsidR="009F5271">
        <w:rPr>
          <w:sz w:val="18"/>
          <w:szCs w:val="18"/>
        </w:rPr>
        <w:t xml:space="preserve"> </w:t>
      </w:r>
      <w:hyperlink r:id="rId1" w:history="1">
        <w:r w:rsidR="001B547C" w:rsidRPr="00444A7F">
          <w:rPr>
            <w:rStyle w:val="Hyperlink"/>
            <w:sz w:val="18"/>
            <w:szCs w:val="18"/>
          </w:rPr>
          <w:t>https://pljevlja.me/wp-content/uploads/2021/01/Odluka-urb.-sanacija.pdf</w:t>
        </w:r>
      </w:hyperlink>
      <w:r w:rsidR="001B547C">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43"/>
    <w:rsid w:val="001B547C"/>
    <w:rsid w:val="00663897"/>
    <w:rsid w:val="0067370D"/>
    <w:rsid w:val="009F5271"/>
    <w:rsid w:val="00C74043"/>
    <w:rsid w:val="00CA4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1646"/>
  <w15:chartTrackingRefBased/>
  <w15:docId w15:val="{98AC5CA9-AA6A-4629-92EC-ED5D5CCA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43"/>
  </w:style>
  <w:style w:type="paragraph" w:styleId="FootnoteText">
    <w:name w:val="footnote text"/>
    <w:basedOn w:val="Normal"/>
    <w:link w:val="FootnoteTextChar"/>
    <w:uiPriority w:val="99"/>
    <w:semiHidden/>
    <w:unhideWhenUsed/>
    <w:rsid w:val="00C74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043"/>
    <w:rPr>
      <w:sz w:val="20"/>
      <w:szCs w:val="20"/>
    </w:rPr>
  </w:style>
  <w:style w:type="character" w:styleId="FootnoteReference">
    <w:name w:val="footnote reference"/>
    <w:basedOn w:val="DefaultParagraphFont"/>
    <w:uiPriority w:val="99"/>
    <w:semiHidden/>
    <w:unhideWhenUsed/>
    <w:rsid w:val="00C74043"/>
    <w:rPr>
      <w:vertAlign w:val="superscript"/>
    </w:rPr>
  </w:style>
  <w:style w:type="paragraph" w:styleId="Header">
    <w:name w:val="header"/>
    <w:basedOn w:val="Normal"/>
    <w:link w:val="HeaderChar"/>
    <w:uiPriority w:val="99"/>
    <w:unhideWhenUsed/>
    <w:rsid w:val="009F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71"/>
  </w:style>
  <w:style w:type="character" w:styleId="Hyperlink">
    <w:name w:val="Hyperlink"/>
    <w:basedOn w:val="DefaultParagraphFont"/>
    <w:uiPriority w:val="99"/>
    <w:unhideWhenUsed/>
    <w:rsid w:val="001B547C"/>
    <w:rPr>
      <w:color w:val="0563C1" w:themeColor="hyperlink"/>
      <w:u w:val="single"/>
    </w:rPr>
  </w:style>
  <w:style w:type="character" w:styleId="UnresolvedMention">
    <w:name w:val="Unresolved Mention"/>
    <w:basedOn w:val="DefaultParagraphFont"/>
    <w:uiPriority w:val="99"/>
    <w:semiHidden/>
    <w:unhideWhenUsed/>
    <w:rsid w:val="001B5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jevlja.me/wp-content/uploads/2021/01/Odluka-urb.-sanacija.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ljevlja.me/wp-content/uploads/2021/01/Odluka-urb.-sanac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Kikovic</dc:creator>
  <cp:keywords/>
  <dc:description/>
  <cp:lastModifiedBy>Aleksandra Kikovic</cp:lastModifiedBy>
  <cp:revision>3</cp:revision>
  <dcterms:created xsi:type="dcterms:W3CDTF">2022-02-09T13:30:00Z</dcterms:created>
  <dcterms:modified xsi:type="dcterms:W3CDTF">2022-02-09T13:39:00Z</dcterms:modified>
</cp:coreProperties>
</file>